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02F29" w14:textId="7C0F3BB9" w:rsidR="0098689D" w:rsidRDefault="00000000" w:rsidP="0016294A">
      <w:pPr>
        <w:spacing w:line="480" w:lineRule="auto"/>
        <w:jc w:val="center"/>
        <w:rPr>
          <w:rFonts w:ascii="黑体" w:eastAsia="黑体" w:hAnsi="黑体"/>
          <w:sz w:val="32"/>
          <w:szCs w:val="32"/>
        </w:rPr>
      </w:pPr>
      <w:r>
        <w:rPr>
          <w:rFonts w:ascii="黑体" w:eastAsia="黑体" w:hAnsi="黑体"/>
          <w:sz w:val="32"/>
          <w:szCs w:val="32"/>
        </w:rPr>
        <w:t>《食品安全国家标准</w:t>
      </w:r>
      <w:r>
        <w:rPr>
          <w:rFonts w:ascii="黑体" w:eastAsia="黑体" w:hAnsi="黑体" w:hint="eastAsia"/>
          <w:sz w:val="32"/>
          <w:szCs w:val="32"/>
        </w:rPr>
        <w:t xml:space="preserve"> </w:t>
      </w:r>
      <w:r>
        <w:rPr>
          <w:rFonts w:ascii="黑体" w:eastAsia="黑体" w:hAnsi="黑体"/>
          <w:sz w:val="32"/>
          <w:szCs w:val="32"/>
        </w:rPr>
        <w:t>食品添加剂</w:t>
      </w:r>
      <w:r>
        <w:rPr>
          <w:rFonts w:ascii="黑体" w:eastAsia="黑体" w:hAnsi="黑体" w:hint="eastAsia"/>
          <w:sz w:val="32"/>
          <w:szCs w:val="32"/>
        </w:rPr>
        <w:t xml:space="preserve"> </w:t>
      </w:r>
      <w:r w:rsidR="0016294A" w:rsidRPr="0016294A">
        <w:rPr>
          <w:rFonts w:ascii="Times New Roman" w:eastAsia="黑体" w:hAnsi="Times New Roman" w:hint="eastAsia"/>
          <w:sz w:val="30"/>
          <w:szCs w:val="30"/>
        </w:rPr>
        <w:t>双乙酰酒石酸单双甘油酯</w:t>
      </w:r>
      <w:r>
        <w:rPr>
          <w:rFonts w:ascii="黑体" w:eastAsia="黑体" w:hAnsi="黑体"/>
          <w:sz w:val="32"/>
          <w:szCs w:val="32"/>
        </w:rPr>
        <w:t>》</w:t>
      </w:r>
    </w:p>
    <w:p w14:paraId="1AFDF6D6" w14:textId="161C12FC" w:rsidR="0098689D" w:rsidRDefault="00000000" w:rsidP="008719B4">
      <w:pPr>
        <w:spacing w:line="480" w:lineRule="auto"/>
        <w:jc w:val="center"/>
        <w:rPr>
          <w:rFonts w:ascii="黑体" w:eastAsia="黑体" w:hAnsi="黑体"/>
          <w:spacing w:val="-4"/>
          <w:sz w:val="32"/>
          <w:szCs w:val="32"/>
        </w:rPr>
      </w:pPr>
      <w:r>
        <w:rPr>
          <w:rFonts w:ascii="Times New Roman" w:eastAsia="黑体" w:hAnsi="Times New Roman"/>
          <w:spacing w:val="-4"/>
          <w:sz w:val="32"/>
          <w:szCs w:val="32"/>
        </w:rPr>
        <w:t>（</w:t>
      </w:r>
      <w:r w:rsidR="0016294A" w:rsidRPr="0016294A">
        <w:rPr>
          <w:rFonts w:ascii="Times New Roman" w:eastAsia="黑体" w:hAnsi="Times New Roman"/>
          <w:spacing w:val="-4"/>
          <w:sz w:val="32"/>
          <w:szCs w:val="32"/>
        </w:rPr>
        <w:t>GB 25539-2010</w:t>
      </w:r>
      <w:r>
        <w:rPr>
          <w:rFonts w:ascii="Times New Roman" w:eastAsia="黑体" w:hAnsi="Times New Roman"/>
          <w:spacing w:val="-4"/>
          <w:sz w:val="32"/>
          <w:szCs w:val="32"/>
        </w:rPr>
        <w:t>）</w:t>
      </w:r>
      <w:r>
        <w:rPr>
          <w:rFonts w:ascii="黑体" w:eastAsia="黑体" w:hAnsi="黑体"/>
          <w:spacing w:val="-4"/>
          <w:sz w:val="32"/>
          <w:szCs w:val="32"/>
        </w:rPr>
        <w:t>第</w:t>
      </w:r>
      <w:r w:rsidR="008B714A">
        <w:rPr>
          <w:rFonts w:ascii="Times New Roman" w:eastAsia="黑体" w:hAnsi="Times New Roman"/>
          <w:spacing w:val="-4"/>
          <w:sz w:val="32"/>
          <w:szCs w:val="32"/>
        </w:rPr>
        <w:t>1</w:t>
      </w:r>
      <w:r>
        <w:rPr>
          <w:rFonts w:ascii="黑体" w:eastAsia="黑体" w:hAnsi="黑体"/>
          <w:spacing w:val="-4"/>
          <w:sz w:val="32"/>
          <w:szCs w:val="32"/>
        </w:rPr>
        <w:t>号修改单</w:t>
      </w:r>
      <w:r>
        <w:rPr>
          <w:rFonts w:ascii="黑体" w:eastAsia="黑体" w:hAnsi="黑体" w:hint="eastAsia"/>
          <w:spacing w:val="-4"/>
          <w:sz w:val="32"/>
          <w:szCs w:val="32"/>
        </w:rPr>
        <w:t>（</w:t>
      </w:r>
      <w:r w:rsidR="00A37867" w:rsidRPr="00A37867">
        <w:rPr>
          <w:rFonts w:ascii="黑体" w:eastAsia="黑体" w:hAnsi="黑体" w:hint="eastAsia"/>
          <w:spacing w:val="-4"/>
          <w:sz w:val="32"/>
          <w:szCs w:val="32"/>
        </w:rPr>
        <w:t>征求意见</w:t>
      </w:r>
      <w:r>
        <w:rPr>
          <w:rFonts w:ascii="黑体" w:eastAsia="黑体" w:hAnsi="黑体" w:hint="eastAsia"/>
          <w:spacing w:val="-4"/>
          <w:sz w:val="32"/>
          <w:szCs w:val="32"/>
        </w:rPr>
        <w:t>稿）</w:t>
      </w:r>
      <w:r>
        <w:rPr>
          <w:rFonts w:ascii="黑体" w:eastAsia="黑体" w:hAnsi="黑体"/>
          <w:spacing w:val="-4"/>
          <w:sz w:val="32"/>
          <w:szCs w:val="32"/>
        </w:rPr>
        <w:t>编制说明</w:t>
      </w:r>
    </w:p>
    <w:p w14:paraId="1BF33966" w14:textId="77777777" w:rsidR="0098689D" w:rsidRPr="00A37867" w:rsidRDefault="0098689D">
      <w:pPr>
        <w:spacing w:line="360" w:lineRule="auto"/>
        <w:ind w:firstLineChars="200" w:firstLine="420"/>
        <w:rPr>
          <w:rFonts w:ascii="黑体" w:eastAsia="黑体" w:hAnsi="黑体"/>
          <w:szCs w:val="21"/>
        </w:rPr>
      </w:pPr>
    </w:p>
    <w:p w14:paraId="5CEDC6BC"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一、修订背景</w:t>
      </w:r>
    </w:p>
    <w:p w14:paraId="4CD567B6" w14:textId="35207B46" w:rsidR="0098689D" w:rsidRPr="000376EF" w:rsidRDefault="00000000" w:rsidP="000376EF">
      <w:pPr>
        <w:spacing w:line="360" w:lineRule="auto"/>
        <w:ind w:firstLineChars="200" w:firstLine="420"/>
        <w:rPr>
          <w:rFonts w:ascii="Times New Roman" w:hAnsi="Times New Roman"/>
          <w:szCs w:val="21"/>
        </w:rPr>
      </w:pPr>
      <w:r>
        <w:rPr>
          <w:rFonts w:ascii="Times New Roman" w:hAnsi="Times New Roman"/>
          <w:szCs w:val="21"/>
        </w:rPr>
        <w:t>《食品安全国家标准</w:t>
      </w:r>
      <w:r>
        <w:rPr>
          <w:rFonts w:ascii="Times New Roman" w:hAnsi="Times New Roman"/>
          <w:szCs w:val="21"/>
        </w:rPr>
        <w:t xml:space="preserve"> </w:t>
      </w:r>
      <w:r>
        <w:rPr>
          <w:rFonts w:ascii="Times New Roman" w:hAnsi="Times New Roman"/>
          <w:szCs w:val="21"/>
        </w:rPr>
        <w:t>食品添加剂</w:t>
      </w:r>
      <w:r>
        <w:rPr>
          <w:rFonts w:ascii="Times New Roman" w:hAnsi="Times New Roman" w:hint="eastAsia"/>
          <w:szCs w:val="21"/>
        </w:rPr>
        <w:t xml:space="preserve"> </w:t>
      </w:r>
      <w:r w:rsidR="0016294A" w:rsidRPr="0016294A">
        <w:rPr>
          <w:rFonts w:ascii="Times New Roman" w:hAnsi="Times New Roman" w:hint="eastAsia"/>
          <w:szCs w:val="21"/>
        </w:rPr>
        <w:t>双乙酰酒石酸单双甘油酯</w:t>
      </w:r>
      <w:r>
        <w:rPr>
          <w:rFonts w:ascii="Times New Roman" w:hAnsi="Times New Roman"/>
          <w:szCs w:val="21"/>
        </w:rPr>
        <w:t>》（</w:t>
      </w:r>
      <w:r w:rsidR="0016294A" w:rsidRPr="0016294A">
        <w:rPr>
          <w:rFonts w:ascii="Times New Roman" w:hAnsi="Times New Roman"/>
          <w:szCs w:val="21"/>
        </w:rPr>
        <w:t>GB 25539-2010</w:t>
      </w:r>
      <w:r>
        <w:rPr>
          <w:rFonts w:ascii="Times New Roman" w:hAnsi="Times New Roman"/>
          <w:szCs w:val="21"/>
        </w:rPr>
        <w:t>）于</w:t>
      </w:r>
      <w:r>
        <w:rPr>
          <w:rFonts w:ascii="Times New Roman" w:hAnsi="Times New Roman"/>
          <w:szCs w:val="21"/>
        </w:rPr>
        <w:t>201</w:t>
      </w:r>
      <w:r w:rsidR="0016294A">
        <w:rPr>
          <w:rFonts w:ascii="Times New Roman" w:hAnsi="Times New Roman"/>
          <w:szCs w:val="21"/>
        </w:rPr>
        <w:t>0</w:t>
      </w:r>
      <w:r>
        <w:rPr>
          <w:rFonts w:ascii="Times New Roman" w:hAnsi="Times New Roman"/>
          <w:szCs w:val="21"/>
        </w:rPr>
        <w:t>年</w:t>
      </w:r>
      <w:r w:rsidR="0091165E">
        <w:rPr>
          <w:rFonts w:ascii="Times New Roman" w:hAnsi="Times New Roman"/>
          <w:szCs w:val="21"/>
        </w:rPr>
        <w:t>1</w:t>
      </w:r>
      <w:r w:rsidR="00524C91">
        <w:rPr>
          <w:rFonts w:ascii="Times New Roman" w:hAnsi="Times New Roman"/>
          <w:szCs w:val="21"/>
        </w:rPr>
        <w:t>2</w:t>
      </w:r>
      <w:r>
        <w:rPr>
          <w:rFonts w:ascii="Times New Roman" w:hAnsi="Times New Roman"/>
          <w:szCs w:val="21"/>
        </w:rPr>
        <w:t>月</w:t>
      </w:r>
      <w:r w:rsidR="0016294A">
        <w:rPr>
          <w:rFonts w:ascii="Times New Roman" w:hAnsi="Times New Roman"/>
          <w:szCs w:val="21"/>
        </w:rPr>
        <w:t>21</w:t>
      </w:r>
      <w:r>
        <w:rPr>
          <w:rFonts w:ascii="Times New Roman" w:hAnsi="Times New Roman"/>
          <w:szCs w:val="21"/>
        </w:rPr>
        <w:t>日发布，</w:t>
      </w:r>
      <w:r>
        <w:rPr>
          <w:rFonts w:ascii="Times New Roman" w:hAnsi="Times New Roman"/>
          <w:szCs w:val="21"/>
        </w:rPr>
        <w:t>201</w:t>
      </w:r>
      <w:r w:rsidR="0016294A">
        <w:rPr>
          <w:rFonts w:ascii="Times New Roman" w:hAnsi="Times New Roman"/>
          <w:szCs w:val="21"/>
        </w:rPr>
        <w:t>1</w:t>
      </w:r>
      <w:r>
        <w:rPr>
          <w:rFonts w:ascii="Times New Roman" w:hAnsi="Times New Roman"/>
          <w:szCs w:val="21"/>
        </w:rPr>
        <w:t>年</w:t>
      </w:r>
      <w:r w:rsidR="0016294A">
        <w:rPr>
          <w:rFonts w:ascii="Times New Roman" w:hAnsi="Times New Roman"/>
          <w:szCs w:val="21"/>
        </w:rPr>
        <w:t>2</w:t>
      </w:r>
      <w:r>
        <w:rPr>
          <w:rFonts w:ascii="Times New Roman" w:hAnsi="Times New Roman"/>
          <w:szCs w:val="21"/>
        </w:rPr>
        <w:t>月</w:t>
      </w:r>
      <w:r w:rsidR="0016294A">
        <w:rPr>
          <w:rFonts w:ascii="Times New Roman" w:hAnsi="Times New Roman"/>
          <w:szCs w:val="21"/>
        </w:rPr>
        <w:t>21</w:t>
      </w:r>
      <w:r>
        <w:rPr>
          <w:rFonts w:ascii="Times New Roman" w:hAnsi="Times New Roman"/>
          <w:szCs w:val="21"/>
        </w:rPr>
        <w:t>日实施</w:t>
      </w:r>
      <w:r>
        <w:rPr>
          <w:rFonts w:ascii="Times New Roman" w:hAnsi="Times New Roman" w:hint="eastAsia"/>
          <w:szCs w:val="21"/>
        </w:rPr>
        <w:t>。其中：</w:t>
      </w:r>
    </w:p>
    <w:p w14:paraId="600BF548" w14:textId="39B4FAA1" w:rsidR="00C010AD" w:rsidRDefault="00524C91" w:rsidP="005D0A24">
      <w:pPr>
        <w:spacing w:line="360" w:lineRule="auto"/>
        <w:ind w:firstLineChars="200" w:firstLine="420"/>
        <w:rPr>
          <w:rFonts w:ascii="Times New Roman" w:hAnsi="Times New Roman"/>
        </w:rPr>
      </w:pPr>
      <w:r>
        <w:rPr>
          <w:rFonts w:ascii="黑体" w:eastAsia="黑体" w:hAnsi="黑体"/>
        </w:rPr>
        <w:t>3</w:t>
      </w:r>
      <w:r w:rsidR="00C010AD">
        <w:rPr>
          <w:rFonts w:ascii="黑体" w:eastAsia="黑体" w:hAnsi="黑体"/>
        </w:rPr>
        <w:t>.2</w:t>
      </w:r>
      <w:r w:rsidR="00C010AD" w:rsidRPr="00883515">
        <w:rPr>
          <w:rFonts w:ascii="黑体" w:eastAsia="黑体" w:hAnsi="黑体"/>
        </w:rPr>
        <w:t xml:space="preserve"> </w:t>
      </w:r>
      <w:r w:rsidR="00C010AD" w:rsidRPr="00883515">
        <w:rPr>
          <w:rFonts w:ascii="黑体" w:eastAsia="黑体" w:hAnsi="黑体" w:hint="eastAsia"/>
        </w:rPr>
        <w:t>理化指标</w:t>
      </w:r>
    </w:p>
    <w:p w14:paraId="2916FBD6" w14:textId="054192DD" w:rsidR="0079795E" w:rsidRPr="005D0A24" w:rsidRDefault="0079795E" w:rsidP="005D0A24">
      <w:pPr>
        <w:spacing w:line="360" w:lineRule="auto"/>
        <w:ind w:firstLineChars="200" w:firstLine="420"/>
        <w:rPr>
          <w:rFonts w:ascii="Times New Roman" w:hAnsi="Times New Roman"/>
        </w:rPr>
      </w:pPr>
      <w:r w:rsidRPr="0079795E">
        <w:rPr>
          <w:rFonts w:ascii="Times New Roman" w:hAnsi="Times New Roman" w:hint="eastAsia"/>
        </w:rPr>
        <w:t>乳化剂产品在储存、运输过程中容易氧化、酸败</w:t>
      </w:r>
      <w:r w:rsidR="0016294A">
        <w:rPr>
          <w:rFonts w:ascii="Times New Roman" w:hAnsi="Times New Roman" w:hint="eastAsia"/>
        </w:rPr>
        <w:t>、结块</w:t>
      </w:r>
      <w:r w:rsidRPr="0079795E">
        <w:rPr>
          <w:rFonts w:ascii="Times New Roman" w:hAnsi="Times New Roman" w:hint="eastAsia"/>
        </w:rPr>
        <w:t>等，需要添加抗氧化剂、酸度调节剂</w:t>
      </w:r>
      <w:r w:rsidR="0016294A">
        <w:rPr>
          <w:rFonts w:ascii="Times New Roman" w:hAnsi="Times New Roman" w:hint="eastAsia"/>
        </w:rPr>
        <w:t>、抗结剂</w:t>
      </w:r>
      <w:r w:rsidRPr="0079795E">
        <w:rPr>
          <w:rFonts w:ascii="Times New Roman" w:hAnsi="Times New Roman" w:hint="eastAsia"/>
        </w:rPr>
        <w:t>等维持产品本身的稳定，国际上很多国家地区都是允许食品添加剂制剂的合</w:t>
      </w:r>
      <w:proofErr w:type="gramStart"/>
      <w:r w:rsidRPr="0079795E">
        <w:rPr>
          <w:rFonts w:ascii="Times New Roman" w:hAnsi="Times New Roman" w:hint="eastAsia"/>
        </w:rPr>
        <w:t>规</w:t>
      </w:r>
      <w:proofErr w:type="gramEnd"/>
      <w:r w:rsidRPr="0079795E">
        <w:rPr>
          <w:rFonts w:ascii="Times New Roman" w:hAnsi="Times New Roman" w:hint="eastAsia"/>
        </w:rPr>
        <w:t>存在，</w:t>
      </w:r>
      <w:r>
        <w:rPr>
          <w:rFonts w:ascii="Times New Roman" w:hAnsi="Times New Roman" w:hint="eastAsia"/>
        </w:rPr>
        <w:t>而</w:t>
      </w:r>
      <w:r w:rsidRPr="0079795E">
        <w:rPr>
          <w:rFonts w:ascii="Times New Roman" w:hAnsi="Times New Roman" w:hint="eastAsia"/>
        </w:rPr>
        <w:t>国内现行标准没有对</w:t>
      </w:r>
      <w:r w:rsidR="005D0A24">
        <w:rPr>
          <w:rFonts w:ascii="Times New Roman" w:hAnsi="Times New Roman" w:hint="eastAsia"/>
        </w:rPr>
        <w:t>此类</w:t>
      </w:r>
      <w:r w:rsidRPr="0079795E">
        <w:rPr>
          <w:rFonts w:ascii="Times New Roman" w:hAnsi="Times New Roman" w:hint="eastAsia"/>
        </w:rPr>
        <w:t>产品进行规定，限制了这类商品化产品的正常生产和使用</w:t>
      </w:r>
      <w:r>
        <w:rPr>
          <w:rFonts w:ascii="Times New Roman" w:hAnsi="Times New Roman" w:hint="eastAsia"/>
        </w:rPr>
        <w:t>，造成</w:t>
      </w:r>
      <w:r w:rsidRPr="0079795E">
        <w:rPr>
          <w:rFonts w:ascii="Times New Roman" w:hAnsi="Times New Roman" w:hint="eastAsia"/>
        </w:rPr>
        <w:t>国内企业无法获取生产许可证进行生产</w:t>
      </w:r>
      <w:r w:rsidR="003C3961">
        <w:rPr>
          <w:rFonts w:ascii="Times New Roman" w:hAnsi="Times New Roman" w:hint="eastAsia"/>
        </w:rPr>
        <w:t>，</w:t>
      </w:r>
      <w:r w:rsidRPr="00EC54DB">
        <w:rPr>
          <w:rFonts w:ascii="Times New Roman" w:hAnsi="Times New Roman" w:hint="eastAsia"/>
        </w:rPr>
        <w:t>建议参考其他食品安全国家标准中对食品添加剂的商品化产品的规定，增加</w:t>
      </w:r>
      <w:r w:rsidR="0016294A" w:rsidRPr="0016294A">
        <w:rPr>
          <w:rFonts w:ascii="Times New Roman" w:hAnsi="Times New Roman" w:hint="eastAsia"/>
          <w:szCs w:val="21"/>
        </w:rPr>
        <w:t>双乙酰酒石酸单双甘油酯</w:t>
      </w:r>
      <w:r w:rsidRPr="00EC54DB">
        <w:rPr>
          <w:rFonts w:ascii="Times New Roman" w:hAnsi="Times New Roman" w:hint="eastAsia"/>
        </w:rPr>
        <w:t>的商品化产品描述。</w:t>
      </w:r>
      <w:r w:rsidR="005D0A24" w:rsidRPr="0079795E">
        <w:rPr>
          <w:rFonts w:ascii="Times New Roman" w:hAnsi="Times New Roman" w:hint="eastAsia"/>
        </w:rPr>
        <w:t>辅料使用情况的</w:t>
      </w:r>
      <w:r w:rsidRPr="0079795E">
        <w:rPr>
          <w:rFonts w:ascii="Times New Roman" w:hAnsi="Times New Roman" w:hint="eastAsia"/>
        </w:rPr>
        <w:t>工艺必要性说明如下：</w:t>
      </w:r>
    </w:p>
    <w:p w14:paraId="47239CB5" w14:textId="34DEC4BA"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79795E">
        <w:rPr>
          <w:rFonts w:ascii="Times New Roman" w:hAnsi="Times New Roman" w:hint="eastAsia"/>
        </w:rPr>
        <w:t>抗氧化剂（如维生素</w:t>
      </w:r>
      <w:r w:rsidRPr="0079795E">
        <w:rPr>
          <w:rFonts w:ascii="Times New Roman" w:hAnsi="Times New Roman" w:hint="eastAsia"/>
        </w:rPr>
        <w:t>E</w:t>
      </w:r>
      <w:r w:rsidRPr="0079795E">
        <w:rPr>
          <w:rFonts w:ascii="Times New Roman" w:hAnsi="Times New Roman" w:hint="eastAsia"/>
        </w:rPr>
        <w:t>、抗坏血酸棕榈酸酯</w:t>
      </w:r>
      <w:r w:rsidR="0016294A">
        <w:rPr>
          <w:rFonts w:ascii="Times New Roman" w:hAnsi="Times New Roman" w:hint="eastAsia"/>
        </w:rPr>
        <w:t>、磷脂</w:t>
      </w:r>
      <w:r w:rsidRPr="0079795E">
        <w:rPr>
          <w:rFonts w:ascii="Times New Roman" w:hAnsi="Times New Roman" w:hint="eastAsia"/>
        </w:rPr>
        <w:t>）</w:t>
      </w:r>
    </w:p>
    <w:p w14:paraId="3C3F93B0" w14:textId="52D07F7B" w:rsidR="0079795E" w:rsidRPr="0079795E" w:rsidRDefault="0079795E" w:rsidP="0079795E">
      <w:pPr>
        <w:spacing w:line="360" w:lineRule="auto"/>
        <w:ind w:firstLineChars="200" w:firstLine="420"/>
        <w:rPr>
          <w:rFonts w:ascii="Times New Roman" w:hAnsi="Times New Roman"/>
        </w:rPr>
      </w:pPr>
      <w:r w:rsidRPr="0079795E">
        <w:rPr>
          <w:rFonts w:ascii="Times New Roman" w:hAnsi="Times New Roman" w:hint="eastAsia"/>
        </w:rPr>
        <w:t>乳化剂产品来自于油脂，使用</w:t>
      </w:r>
      <w:proofErr w:type="gramStart"/>
      <w:r w:rsidRPr="0079795E">
        <w:rPr>
          <w:rFonts w:ascii="Times New Roman" w:hAnsi="Times New Roman" w:hint="eastAsia"/>
        </w:rPr>
        <w:t>不</w:t>
      </w:r>
      <w:proofErr w:type="gramEnd"/>
      <w:r w:rsidRPr="0079795E">
        <w:rPr>
          <w:rFonts w:ascii="Times New Roman" w:hAnsi="Times New Roman" w:hint="eastAsia"/>
        </w:rPr>
        <w:t>饱和度比较高的油脂生产的乳化剂产品，在储存、运输等过程中，产品极易发生氧化，会影响产品的风味等性能。抗氧化剂可以对乳化剂产品进行保护</w:t>
      </w:r>
      <w:r w:rsidR="00C23F0F">
        <w:rPr>
          <w:rFonts w:ascii="Times New Roman" w:hAnsi="Times New Roman" w:hint="eastAsia"/>
        </w:rPr>
        <w:t>，</w:t>
      </w:r>
      <w:r w:rsidRPr="0079795E">
        <w:rPr>
          <w:rFonts w:ascii="Times New Roman" w:hAnsi="Times New Roman" w:hint="eastAsia"/>
        </w:rPr>
        <w:t>确保产品在货架期内的质量稳定。</w:t>
      </w:r>
    </w:p>
    <w:p w14:paraId="6E1188CC" w14:textId="6D846C3F"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79795E">
        <w:rPr>
          <w:rFonts w:ascii="Times New Roman" w:hAnsi="Times New Roman" w:hint="eastAsia"/>
        </w:rPr>
        <w:t>酸度调节剂（如</w:t>
      </w:r>
      <w:r w:rsidR="00C010AD">
        <w:rPr>
          <w:rFonts w:ascii="Times New Roman" w:hAnsi="Times New Roman" w:hint="eastAsia"/>
        </w:rPr>
        <w:t>柠檬酸及其盐类</w:t>
      </w:r>
      <w:r w:rsidR="0016294A" w:rsidRPr="0016294A">
        <w:rPr>
          <w:rFonts w:ascii="Times New Roman" w:hAnsi="Times New Roman" w:hint="eastAsia"/>
        </w:rPr>
        <w:t>、碳酸氢钠、碳酸钠</w:t>
      </w:r>
      <w:r w:rsidRPr="0079795E">
        <w:rPr>
          <w:rFonts w:ascii="Times New Roman" w:hAnsi="Times New Roman" w:hint="eastAsia"/>
        </w:rPr>
        <w:t>）</w:t>
      </w:r>
    </w:p>
    <w:p w14:paraId="118980B7" w14:textId="3BA52A83" w:rsidR="008005CA" w:rsidRDefault="0079795E" w:rsidP="00C010AD">
      <w:pPr>
        <w:spacing w:line="360" w:lineRule="auto"/>
        <w:ind w:firstLineChars="200" w:firstLine="420"/>
        <w:rPr>
          <w:rFonts w:ascii="Times New Roman" w:hAnsi="Times New Roman"/>
        </w:rPr>
      </w:pPr>
      <w:r w:rsidRPr="0079795E">
        <w:rPr>
          <w:rFonts w:ascii="Times New Roman" w:hAnsi="Times New Roman" w:hint="eastAsia"/>
        </w:rPr>
        <w:t>酸度调节剂可以协同维生素</w:t>
      </w:r>
      <w:r w:rsidRPr="0079795E">
        <w:rPr>
          <w:rFonts w:ascii="Times New Roman" w:hAnsi="Times New Roman" w:hint="eastAsia"/>
        </w:rPr>
        <w:t>E</w:t>
      </w:r>
      <w:r w:rsidRPr="0079795E">
        <w:rPr>
          <w:rFonts w:ascii="Times New Roman" w:hAnsi="Times New Roman" w:hint="eastAsia"/>
        </w:rPr>
        <w:t>和抗坏血酸棕榈酸酯</w:t>
      </w:r>
      <w:r w:rsidR="005D0A24">
        <w:rPr>
          <w:rFonts w:ascii="Times New Roman" w:hAnsi="Times New Roman" w:hint="eastAsia"/>
        </w:rPr>
        <w:t>等抗氧化剂</w:t>
      </w:r>
      <w:r w:rsidRPr="0079795E">
        <w:rPr>
          <w:rFonts w:ascii="Times New Roman" w:hAnsi="Times New Roman" w:hint="eastAsia"/>
        </w:rPr>
        <w:t>发挥更好的抗氧化性能</w:t>
      </w:r>
      <w:r w:rsidR="009E3039">
        <w:rPr>
          <w:rFonts w:ascii="Times New Roman" w:hAnsi="Times New Roman" w:hint="eastAsia"/>
        </w:rPr>
        <w:t>，防止乳化剂产品酸败变质</w:t>
      </w:r>
      <w:r w:rsidRPr="0079795E">
        <w:rPr>
          <w:rFonts w:ascii="Times New Roman" w:hAnsi="Times New Roman" w:hint="eastAsia"/>
        </w:rPr>
        <w:t>。</w:t>
      </w:r>
    </w:p>
    <w:p w14:paraId="58503E13" w14:textId="5C240A5A" w:rsidR="0016294A" w:rsidRPr="0079795E" w:rsidRDefault="0016294A" w:rsidP="0016294A">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Pr="0079795E">
        <w:rPr>
          <w:rFonts w:ascii="Times New Roman" w:hAnsi="Times New Roman" w:hint="eastAsia"/>
        </w:rPr>
        <w:t>抗结剂（如</w:t>
      </w:r>
      <w:r>
        <w:rPr>
          <w:rFonts w:ascii="Times New Roman" w:hAnsi="Times New Roman" w:hint="eastAsia"/>
        </w:rPr>
        <w:t>二氧化硅</w:t>
      </w:r>
      <w:r w:rsidRPr="0079795E">
        <w:rPr>
          <w:rFonts w:ascii="Times New Roman" w:hAnsi="Times New Roman" w:hint="eastAsia"/>
        </w:rPr>
        <w:t>、硬脂酸</w:t>
      </w:r>
      <w:r>
        <w:rPr>
          <w:rFonts w:ascii="Times New Roman" w:hAnsi="Times New Roman" w:hint="eastAsia"/>
        </w:rPr>
        <w:t>钾、</w:t>
      </w:r>
      <w:r w:rsidRPr="0016294A">
        <w:rPr>
          <w:rFonts w:ascii="Times New Roman" w:hAnsi="Times New Roman" w:hint="eastAsia"/>
        </w:rPr>
        <w:t>碳酸钙、磷酸钙</w:t>
      </w:r>
      <w:r w:rsidRPr="0079795E">
        <w:rPr>
          <w:rFonts w:ascii="Times New Roman" w:hAnsi="Times New Roman" w:hint="eastAsia"/>
        </w:rPr>
        <w:t>）</w:t>
      </w:r>
    </w:p>
    <w:p w14:paraId="4982CAA5" w14:textId="0D6CFFC0" w:rsidR="0016294A" w:rsidRDefault="0016294A" w:rsidP="0016294A">
      <w:pPr>
        <w:spacing w:line="360" w:lineRule="auto"/>
        <w:ind w:firstLineChars="200" w:firstLine="420"/>
        <w:rPr>
          <w:rFonts w:ascii="Times New Roman" w:hAnsi="Times New Roman" w:hint="eastAsia"/>
        </w:rPr>
      </w:pPr>
      <w:r w:rsidRPr="0079795E">
        <w:rPr>
          <w:rFonts w:ascii="Times New Roman" w:hAnsi="Times New Roman" w:hint="eastAsia"/>
        </w:rPr>
        <w:t>乳化剂</w:t>
      </w:r>
      <w:r>
        <w:rPr>
          <w:rFonts w:ascii="Times New Roman" w:hAnsi="Times New Roman" w:hint="eastAsia"/>
        </w:rPr>
        <w:t>产品由于</w:t>
      </w:r>
      <w:r w:rsidRPr="0079795E">
        <w:rPr>
          <w:rFonts w:ascii="Times New Roman" w:hAnsi="Times New Roman" w:hint="eastAsia"/>
        </w:rPr>
        <w:t>产品特性极易发生结块现象，尤其是颗粒度比较细的粉状产品</w:t>
      </w:r>
      <w:r>
        <w:rPr>
          <w:rFonts w:ascii="Times New Roman" w:hAnsi="Times New Roman" w:hint="eastAsia"/>
        </w:rPr>
        <w:t>，在</w:t>
      </w:r>
      <w:r w:rsidRPr="0079795E">
        <w:rPr>
          <w:rFonts w:ascii="Times New Roman" w:hAnsi="Times New Roman" w:hint="eastAsia"/>
        </w:rPr>
        <w:t>储存过程中产品会形成硬结块，添加</w:t>
      </w:r>
      <w:r>
        <w:rPr>
          <w:rFonts w:ascii="Times New Roman" w:hAnsi="Times New Roman" w:hint="eastAsia"/>
        </w:rPr>
        <w:t>抗结剂</w:t>
      </w:r>
      <w:r w:rsidRPr="0079795E">
        <w:rPr>
          <w:rFonts w:ascii="Times New Roman" w:hAnsi="Times New Roman" w:hint="eastAsia"/>
        </w:rPr>
        <w:t>可以很好解决结块问题，确保产品正常使用。</w:t>
      </w:r>
      <w:r w:rsidRPr="0016294A">
        <w:rPr>
          <w:rFonts w:ascii="Times New Roman" w:hAnsi="Times New Roman" w:hint="eastAsia"/>
        </w:rPr>
        <w:t>由于添加了抗结剂，商品化产品的总甘油、总乙酸和灼烧残渣</w:t>
      </w:r>
      <w:r>
        <w:rPr>
          <w:rFonts w:ascii="Times New Roman" w:hAnsi="Times New Roman" w:hint="eastAsia"/>
        </w:rPr>
        <w:t>指标</w:t>
      </w:r>
      <w:r w:rsidRPr="0016294A">
        <w:rPr>
          <w:rFonts w:ascii="Times New Roman" w:hAnsi="Times New Roman" w:hint="eastAsia"/>
        </w:rPr>
        <w:t>不能符合标准要求，有必要明确商品化的</w:t>
      </w:r>
      <w:r w:rsidR="003233B9" w:rsidRPr="003233B9">
        <w:rPr>
          <w:rFonts w:ascii="Times New Roman" w:hAnsi="Times New Roman" w:hint="eastAsia"/>
        </w:rPr>
        <w:t>双乙酰酒石酸单双甘油酯</w:t>
      </w:r>
      <w:r w:rsidRPr="0016294A">
        <w:rPr>
          <w:rFonts w:ascii="Times New Roman" w:hAnsi="Times New Roman" w:hint="eastAsia"/>
        </w:rPr>
        <w:t>产品不适用于</w:t>
      </w:r>
      <w:r>
        <w:rPr>
          <w:rFonts w:ascii="Times New Roman" w:hAnsi="Times New Roman" w:hint="eastAsia"/>
        </w:rPr>
        <w:t>上述</w:t>
      </w:r>
      <w:r w:rsidRPr="0016294A">
        <w:rPr>
          <w:rFonts w:ascii="Times New Roman" w:hAnsi="Times New Roman" w:hint="eastAsia"/>
        </w:rPr>
        <w:t>指标。</w:t>
      </w:r>
    </w:p>
    <w:p w14:paraId="31F89CA4"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二、修订内容</w:t>
      </w:r>
    </w:p>
    <w:p w14:paraId="299E0C28" w14:textId="5A74029C" w:rsidR="0098689D" w:rsidRDefault="00524C91">
      <w:pPr>
        <w:spacing w:line="360" w:lineRule="auto"/>
        <w:ind w:firstLineChars="200" w:firstLine="420"/>
        <w:rPr>
          <w:rFonts w:ascii="Times New Roman" w:hAnsi="Times New Roman"/>
          <w:b/>
        </w:rPr>
      </w:pPr>
      <w:r>
        <w:rPr>
          <w:rFonts w:ascii="黑体" w:eastAsia="黑体" w:hAnsi="黑体"/>
        </w:rPr>
        <w:t>3</w:t>
      </w:r>
      <w:r w:rsidR="00DF08A8" w:rsidRPr="00FD4FDF">
        <w:rPr>
          <w:rFonts w:ascii="黑体" w:eastAsia="黑体" w:hAnsi="黑体" w:hint="eastAsia"/>
        </w:rPr>
        <w:t>.</w:t>
      </w:r>
      <w:r w:rsidR="00DF08A8" w:rsidRPr="00FD4FDF">
        <w:rPr>
          <w:rFonts w:ascii="黑体" w:eastAsia="黑体" w:hAnsi="黑体"/>
        </w:rPr>
        <w:t>2</w:t>
      </w:r>
      <w:r w:rsidR="00DF08A8" w:rsidRPr="00FD4FDF">
        <w:rPr>
          <w:rFonts w:ascii="黑体" w:eastAsia="黑体" w:hAnsi="黑体" w:hint="eastAsia"/>
        </w:rPr>
        <w:t xml:space="preserve"> 理化指标</w:t>
      </w:r>
    </w:p>
    <w:p w14:paraId="2F45266F" w14:textId="56D42878" w:rsidR="0098689D" w:rsidRDefault="0016294A">
      <w:pPr>
        <w:spacing w:line="360" w:lineRule="auto"/>
        <w:ind w:firstLineChars="200" w:firstLine="420"/>
        <w:rPr>
          <w:rFonts w:ascii="Times New Roman" w:hAnsi="Times New Roman"/>
          <w:szCs w:val="21"/>
        </w:rPr>
      </w:pPr>
      <w:r>
        <w:rPr>
          <w:rFonts w:ascii="Times New Roman" w:hAnsi="Times New Roman" w:hint="eastAsia"/>
          <w:szCs w:val="21"/>
        </w:rPr>
        <w:t>增加表</w:t>
      </w:r>
      <w:r>
        <w:rPr>
          <w:rFonts w:ascii="Times New Roman" w:hAnsi="Times New Roman" w:hint="eastAsia"/>
          <w:szCs w:val="21"/>
        </w:rPr>
        <w:t>2</w:t>
      </w:r>
      <w:r>
        <w:rPr>
          <w:rFonts w:ascii="Times New Roman" w:hAnsi="Times New Roman" w:hint="eastAsia"/>
          <w:szCs w:val="21"/>
        </w:rPr>
        <w:t>注</w:t>
      </w:r>
      <w:r w:rsidRPr="002B2776">
        <w:rPr>
          <w:rFonts w:ascii="Times New Roman" w:hAnsi="Times New Roman"/>
          <w:szCs w:val="21"/>
        </w:rPr>
        <w:t>“</w:t>
      </w:r>
      <w:r w:rsidRPr="00883515">
        <w:rPr>
          <w:rFonts w:ascii="Times New Roman" w:hAnsi="Times New Roman" w:hint="eastAsia"/>
          <w:szCs w:val="21"/>
        </w:rPr>
        <w:t>商品化的</w:t>
      </w:r>
      <w:r w:rsidRPr="00C87A36">
        <w:rPr>
          <w:rFonts w:ascii="Times New Roman" w:hAnsi="Times New Roman" w:hint="eastAsia"/>
          <w:szCs w:val="21"/>
        </w:rPr>
        <w:t>双乙酰酒石酸单双甘油酯</w:t>
      </w:r>
      <w:r w:rsidRPr="00883515">
        <w:rPr>
          <w:rFonts w:ascii="Times New Roman" w:hAnsi="Times New Roman" w:hint="eastAsia"/>
          <w:szCs w:val="21"/>
        </w:rPr>
        <w:t>产品应以符合本标准的</w:t>
      </w:r>
      <w:r w:rsidRPr="00C87A36">
        <w:rPr>
          <w:rFonts w:ascii="Times New Roman" w:hAnsi="Times New Roman" w:hint="eastAsia"/>
          <w:szCs w:val="21"/>
        </w:rPr>
        <w:t>双乙酰酒石酸单双甘油酯</w:t>
      </w:r>
      <w:r w:rsidRPr="00883515">
        <w:rPr>
          <w:rFonts w:ascii="Times New Roman" w:hAnsi="Times New Roman" w:hint="eastAsia"/>
          <w:szCs w:val="21"/>
        </w:rPr>
        <w:t>为原料，</w:t>
      </w:r>
      <w:r w:rsidRPr="00A660D1">
        <w:rPr>
          <w:rFonts w:ascii="Times New Roman" w:hAnsi="Times New Roman" w:hint="eastAsia"/>
          <w:szCs w:val="21"/>
        </w:rPr>
        <w:t>可添加</w:t>
      </w:r>
      <w:r>
        <w:rPr>
          <w:rFonts w:ascii="Times New Roman" w:hAnsi="Times New Roman" w:hint="eastAsia"/>
          <w:szCs w:val="21"/>
        </w:rPr>
        <w:t>用于标准化目的</w:t>
      </w:r>
      <w:r w:rsidRPr="00A660D1">
        <w:rPr>
          <w:rFonts w:ascii="Times New Roman" w:hAnsi="Times New Roman" w:hint="eastAsia"/>
          <w:szCs w:val="21"/>
        </w:rPr>
        <w:t>的</w:t>
      </w:r>
      <w:r w:rsidRPr="00883515">
        <w:rPr>
          <w:rFonts w:ascii="Times New Roman" w:hAnsi="Times New Roman" w:hint="eastAsia"/>
          <w:szCs w:val="21"/>
        </w:rPr>
        <w:t>食品</w:t>
      </w:r>
      <w:r>
        <w:rPr>
          <w:rFonts w:ascii="Times New Roman" w:hAnsi="Times New Roman" w:hint="eastAsia"/>
          <w:szCs w:val="21"/>
        </w:rPr>
        <w:t>原料</w:t>
      </w:r>
      <w:r w:rsidRPr="00883515">
        <w:rPr>
          <w:rFonts w:ascii="Times New Roman" w:hAnsi="Times New Roman" w:hint="eastAsia"/>
          <w:szCs w:val="21"/>
        </w:rPr>
        <w:t>和（或）</w:t>
      </w:r>
      <w:r w:rsidRPr="00A660D1">
        <w:rPr>
          <w:rFonts w:ascii="Times New Roman" w:hAnsi="Times New Roman" w:hint="eastAsia"/>
          <w:szCs w:val="21"/>
        </w:rPr>
        <w:t>符合食品添加剂质量规格要求的</w:t>
      </w:r>
      <w:r>
        <w:rPr>
          <w:rFonts w:ascii="Times New Roman" w:hAnsi="Times New Roman" w:hint="eastAsia"/>
          <w:szCs w:val="21"/>
        </w:rPr>
        <w:t>抗氧化剂、酸度调节剂、抗结剂</w:t>
      </w:r>
      <w:r w:rsidRPr="00883515">
        <w:rPr>
          <w:rFonts w:ascii="Times New Roman" w:hAnsi="Times New Roman" w:hint="eastAsia"/>
          <w:szCs w:val="21"/>
        </w:rPr>
        <w:t>。</w:t>
      </w:r>
      <w:r w:rsidRPr="002B2776">
        <w:rPr>
          <w:rFonts w:ascii="Times New Roman" w:hAnsi="Times New Roman"/>
          <w:szCs w:val="21"/>
        </w:rPr>
        <w:t>”</w:t>
      </w:r>
      <w:r w:rsidRPr="00C87A36">
        <w:rPr>
          <w:rFonts w:ascii="Times New Roman" w:hAnsi="Times New Roman" w:hint="eastAsia"/>
          <w:szCs w:val="21"/>
        </w:rPr>
        <w:t xml:space="preserve"> </w:t>
      </w:r>
      <w:r>
        <w:rPr>
          <w:rFonts w:ascii="Times New Roman" w:hAnsi="Times New Roman" w:hint="eastAsia"/>
          <w:szCs w:val="21"/>
        </w:rPr>
        <w:t>，并对表</w:t>
      </w:r>
      <w:r>
        <w:rPr>
          <w:rFonts w:ascii="Times New Roman" w:hAnsi="Times New Roman" w:hint="eastAsia"/>
          <w:szCs w:val="21"/>
        </w:rPr>
        <w:t>2</w:t>
      </w:r>
      <w:r>
        <w:rPr>
          <w:rFonts w:ascii="Times New Roman" w:hAnsi="Times New Roman" w:hint="eastAsia"/>
          <w:szCs w:val="21"/>
        </w:rPr>
        <w:t>中总甘油、总乙酸和灼烧残渣指标加注“</w:t>
      </w:r>
      <w:r>
        <w:rPr>
          <w:rFonts w:ascii="Times New Roman" w:hAnsi="Times New Roman"/>
          <w:szCs w:val="21"/>
        </w:rPr>
        <w:t>b</w:t>
      </w:r>
      <w:r>
        <w:rPr>
          <w:rFonts w:ascii="Times New Roman" w:hAnsi="Times New Roman" w:hint="eastAsia"/>
          <w:szCs w:val="21"/>
        </w:rPr>
        <w:t>”，增加表的</w:t>
      </w:r>
      <w:r>
        <w:rPr>
          <w:rFonts w:ascii="Times New Roman" w:hAnsi="Times New Roman" w:hint="eastAsia"/>
          <w:szCs w:val="21"/>
        </w:rPr>
        <w:lastRenderedPageBreak/>
        <w:t>脚注内容“商品化的</w:t>
      </w:r>
      <w:r w:rsidRPr="00C87A36">
        <w:rPr>
          <w:rFonts w:ascii="Times New Roman" w:hAnsi="Times New Roman" w:hint="eastAsia"/>
          <w:szCs w:val="21"/>
        </w:rPr>
        <w:t>双乙酰酒石酸单双甘油酯</w:t>
      </w:r>
      <w:r>
        <w:rPr>
          <w:rFonts w:ascii="Times New Roman" w:hAnsi="Times New Roman" w:hint="eastAsia"/>
          <w:szCs w:val="21"/>
        </w:rPr>
        <w:t>产品不适用”。</w:t>
      </w:r>
    </w:p>
    <w:p w14:paraId="0AE04A3E"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三、征求意见情况</w:t>
      </w:r>
    </w:p>
    <w:p w14:paraId="598CDECD" w14:textId="3C32CC89" w:rsidR="0098689D" w:rsidRDefault="00495247">
      <w:pPr>
        <w:spacing w:line="360" w:lineRule="auto"/>
        <w:ind w:firstLineChars="200" w:firstLine="420"/>
        <w:rPr>
          <w:rFonts w:ascii="Times New Roman" w:hAnsi="宋体"/>
          <w:szCs w:val="21"/>
        </w:rPr>
      </w:pPr>
      <w:r>
        <w:rPr>
          <w:rFonts w:ascii="Times New Roman" w:hAnsi="Times New Roman" w:hint="eastAsia"/>
          <w:szCs w:val="21"/>
        </w:rPr>
        <w:t>暂无</w:t>
      </w:r>
      <w:r>
        <w:rPr>
          <w:rFonts w:ascii="Times New Roman" w:hAnsi="宋体" w:hint="eastAsia"/>
          <w:szCs w:val="21"/>
        </w:rPr>
        <w:t>。</w:t>
      </w:r>
    </w:p>
    <w:p w14:paraId="0C4C33BF"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四、审查情况</w:t>
      </w:r>
    </w:p>
    <w:p w14:paraId="48E8A55F" w14:textId="0558B2D9" w:rsidR="00734695" w:rsidRPr="00734695" w:rsidRDefault="00495247" w:rsidP="00E57231">
      <w:pPr>
        <w:widowControl/>
        <w:spacing w:line="360" w:lineRule="auto"/>
        <w:ind w:firstLineChars="200" w:firstLine="420"/>
        <w:rPr>
          <w:rFonts w:ascii="Times New Roman" w:hAnsi="Times New Roman"/>
          <w:szCs w:val="21"/>
        </w:rPr>
      </w:pPr>
      <w:r>
        <w:rPr>
          <w:rFonts w:ascii="Times New Roman" w:hAnsi="Times New Roman" w:hint="eastAsia"/>
          <w:szCs w:val="21"/>
        </w:rPr>
        <w:t>暂无</w:t>
      </w:r>
      <w:r w:rsidR="00E57231" w:rsidRPr="00E57231">
        <w:rPr>
          <w:rFonts w:ascii="Times New Roman" w:hAnsi="Times New Roman" w:hint="eastAsia"/>
          <w:szCs w:val="21"/>
        </w:rPr>
        <w:t>。</w:t>
      </w:r>
    </w:p>
    <w:sectPr w:rsidR="00734695" w:rsidRPr="00734695" w:rsidSect="008719B4">
      <w:pgSz w:w="11906" w:h="16838"/>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07A28" w14:textId="77777777" w:rsidR="001C0309" w:rsidRDefault="001C0309" w:rsidP="00B41451">
      <w:r>
        <w:separator/>
      </w:r>
    </w:p>
  </w:endnote>
  <w:endnote w:type="continuationSeparator" w:id="0">
    <w:p w14:paraId="229C537A" w14:textId="77777777" w:rsidR="001C0309" w:rsidRDefault="001C0309" w:rsidP="00B41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3262D" w14:textId="77777777" w:rsidR="001C0309" w:rsidRDefault="001C0309" w:rsidP="00B41451">
      <w:r>
        <w:separator/>
      </w:r>
    </w:p>
  </w:footnote>
  <w:footnote w:type="continuationSeparator" w:id="0">
    <w:p w14:paraId="63BDE4B1" w14:textId="77777777" w:rsidR="001C0309" w:rsidRDefault="001C0309" w:rsidP="00B41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8B1B2B"/>
    <w:multiLevelType w:val="hybridMultilevel"/>
    <w:tmpl w:val="F138A026"/>
    <w:lvl w:ilvl="0" w:tplc="65D2ABF6">
      <w:start w:val="1"/>
      <w:numFmt w:val="bullet"/>
      <w:lvlText w:val="•"/>
      <w:lvlJc w:val="left"/>
      <w:pPr>
        <w:tabs>
          <w:tab w:val="num" w:pos="720"/>
        </w:tabs>
        <w:ind w:left="720" w:hanging="360"/>
      </w:pPr>
      <w:rPr>
        <w:rFonts w:ascii="Arial" w:hAnsi="Arial" w:hint="default"/>
      </w:rPr>
    </w:lvl>
    <w:lvl w:ilvl="1" w:tplc="68388C88" w:tentative="1">
      <w:start w:val="1"/>
      <w:numFmt w:val="bullet"/>
      <w:lvlText w:val="•"/>
      <w:lvlJc w:val="left"/>
      <w:pPr>
        <w:tabs>
          <w:tab w:val="num" w:pos="1440"/>
        </w:tabs>
        <w:ind w:left="1440" w:hanging="360"/>
      </w:pPr>
      <w:rPr>
        <w:rFonts w:ascii="Arial" w:hAnsi="Arial" w:hint="default"/>
      </w:rPr>
    </w:lvl>
    <w:lvl w:ilvl="2" w:tplc="9F1A30AA" w:tentative="1">
      <w:start w:val="1"/>
      <w:numFmt w:val="bullet"/>
      <w:lvlText w:val="•"/>
      <w:lvlJc w:val="left"/>
      <w:pPr>
        <w:tabs>
          <w:tab w:val="num" w:pos="2160"/>
        </w:tabs>
        <w:ind w:left="2160" w:hanging="360"/>
      </w:pPr>
      <w:rPr>
        <w:rFonts w:ascii="Arial" w:hAnsi="Arial" w:hint="default"/>
      </w:rPr>
    </w:lvl>
    <w:lvl w:ilvl="3" w:tplc="301AACF8" w:tentative="1">
      <w:start w:val="1"/>
      <w:numFmt w:val="bullet"/>
      <w:lvlText w:val="•"/>
      <w:lvlJc w:val="left"/>
      <w:pPr>
        <w:tabs>
          <w:tab w:val="num" w:pos="2880"/>
        </w:tabs>
        <w:ind w:left="2880" w:hanging="360"/>
      </w:pPr>
      <w:rPr>
        <w:rFonts w:ascii="Arial" w:hAnsi="Arial" w:hint="default"/>
      </w:rPr>
    </w:lvl>
    <w:lvl w:ilvl="4" w:tplc="170445EA" w:tentative="1">
      <w:start w:val="1"/>
      <w:numFmt w:val="bullet"/>
      <w:lvlText w:val="•"/>
      <w:lvlJc w:val="left"/>
      <w:pPr>
        <w:tabs>
          <w:tab w:val="num" w:pos="3600"/>
        </w:tabs>
        <w:ind w:left="3600" w:hanging="360"/>
      </w:pPr>
      <w:rPr>
        <w:rFonts w:ascii="Arial" w:hAnsi="Arial" w:hint="default"/>
      </w:rPr>
    </w:lvl>
    <w:lvl w:ilvl="5" w:tplc="A32EA73A" w:tentative="1">
      <w:start w:val="1"/>
      <w:numFmt w:val="bullet"/>
      <w:lvlText w:val="•"/>
      <w:lvlJc w:val="left"/>
      <w:pPr>
        <w:tabs>
          <w:tab w:val="num" w:pos="4320"/>
        </w:tabs>
        <w:ind w:left="4320" w:hanging="360"/>
      </w:pPr>
      <w:rPr>
        <w:rFonts w:ascii="Arial" w:hAnsi="Arial" w:hint="default"/>
      </w:rPr>
    </w:lvl>
    <w:lvl w:ilvl="6" w:tplc="F9EA2378" w:tentative="1">
      <w:start w:val="1"/>
      <w:numFmt w:val="bullet"/>
      <w:lvlText w:val="•"/>
      <w:lvlJc w:val="left"/>
      <w:pPr>
        <w:tabs>
          <w:tab w:val="num" w:pos="5040"/>
        </w:tabs>
        <w:ind w:left="5040" w:hanging="360"/>
      </w:pPr>
      <w:rPr>
        <w:rFonts w:ascii="Arial" w:hAnsi="Arial" w:hint="default"/>
      </w:rPr>
    </w:lvl>
    <w:lvl w:ilvl="7" w:tplc="FF6439EA" w:tentative="1">
      <w:start w:val="1"/>
      <w:numFmt w:val="bullet"/>
      <w:lvlText w:val="•"/>
      <w:lvlJc w:val="left"/>
      <w:pPr>
        <w:tabs>
          <w:tab w:val="num" w:pos="5760"/>
        </w:tabs>
        <w:ind w:left="5760" w:hanging="360"/>
      </w:pPr>
      <w:rPr>
        <w:rFonts w:ascii="Arial" w:hAnsi="Arial" w:hint="default"/>
      </w:rPr>
    </w:lvl>
    <w:lvl w:ilvl="8" w:tplc="15E2FAC4" w:tentative="1">
      <w:start w:val="1"/>
      <w:numFmt w:val="bullet"/>
      <w:lvlText w:val="•"/>
      <w:lvlJc w:val="left"/>
      <w:pPr>
        <w:tabs>
          <w:tab w:val="num" w:pos="6480"/>
        </w:tabs>
        <w:ind w:left="6480" w:hanging="360"/>
      </w:pPr>
      <w:rPr>
        <w:rFonts w:ascii="Arial" w:hAnsi="Arial" w:hint="default"/>
      </w:rPr>
    </w:lvl>
  </w:abstractNum>
  <w:num w:numId="1" w16cid:durableId="603194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RhYzk4M2JiZmZmZDY1OTQ3YWFlZTE2ZTc0Mjc2NzYifQ=="/>
  </w:docVars>
  <w:rsids>
    <w:rsidRoot w:val="00C13D64"/>
    <w:rsid w:val="000110AD"/>
    <w:rsid w:val="0001147D"/>
    <w:rsid w:val="0003066F"/>
    <w:rsid w:val="00035CD5"/>
    <w:rsid w:val="000370CB"/>
    <w:rsid w:val="000376EF"/>
    <w:rsid w:val="00043EE5"/>
    <w:rsid w:val="00050465"/>
    <w:rsid w:val="0005348B"/>
    <w:rsid w:val="0007094E"/>
    <w:rsid w:val="0007180E"/>
    <w:rsid w:val="00084969"/>
    <w:rsid w:val="00090CCB"/>
    <w:rsid w:val="000A1A56"/>
    <w:rsid w:val="000C0D5E"/>
    <w:rsid w:val="000E028A"/>
    <w:rsid w:val="000E6555"/>
    <w:rsid w:val="00117932"/>
    <w:rsid w:val="00117CCF"/>
    <w:rsid w:val="00127CC8"/>
    <w:rsid w:val="00153298"/>
    <w:rsid w:val="0016294A"/>
    <w:rsid w:val="001743BC"/>
    <w:rsid w:val="001914B6"/>
    <w:rsid w:val="001B1701"/>
    <w:rsid w:val="001C0309"/>
    <w:rsid w:val="001D227D"/>
    <w:rsid w:val="001D3D93"/>
    <w:rsid w:val="00211882"/>
    <w:rsid w:val="002125BB"/>
    <w:rsid w:val="002458BF"/>
    <w:rsid w:val="002514A4"/>
    <w:rsid w:val="002623ED"/>
    <w:rsid w:val="002966EA"/>
    <w:rsid w:val="002B0FB9"/>
    <w:rsid w:val="002B5985"/>
    <w:rsid w:val="002B76B3"/>
    <w:rsid w:val="002C1865"/>
    <w:rsid w:val="002C607E"/>
    <w:rsid w:val="002D3A6E"/>
    <w:rsid w:val="002E0D73"/>
    <w:rsid w:val="002E5D3A"/>
    <w:rsid w:val="003233B9"/>
    <w:rsid w:val="00327245"/>
    <w:rsid w:val="003539BF"/>
    <w:rsid w:val="00357E1B"/>
    <w:rsid w:val="003661A7"/>
    <w:rsid w:val="0037575D"/>
    <w:rsid w:val="003834DE"/>
    <w:rsid w:val="00394F18"/>
    <w:rsid w:val="00395D08"/>
    <w:rsid w:val="003C3961"/>
    <w:rsid w:val="003C6DCD"/>
    <w:rsid w:val="003D4DC2"/>
    <w:rsid w:val="003E47A7"/>
    <w:rsid w:val="003F2C5E"/>
    <w:rsid w:val="004162A5"/>
    <w:rsid w:val="00430870"/>
    <w:rsid w:val="00431991"/>
    <w:rsid w:val="004430B9"/>
    <w:rsid w:val="0049104A"/>
    <w:rsid w:val="00495247"/>
    <w:rsid w:val="004B7423"/>
    <w:rsid w:val="004C2926"/>
    <w:rsid w:val="004C6252"/>
    <w:rsid w:val="0050389F"/>
    <w:rsid w:val="00524C91"/>
    <w:rsid w:val="00526A57"/>
    <w:rsid w:val="005308E2"/>
    <w:rsid w:val="005331D1"/>
    <w:rsid w:val="005354F8"/>
    <w:rsid w:val="005632DD"/>
    <w:rsid w:val="005652A2"/>
    <w:rsid w:val="0058248A"/>
    <w:rsid w:val="005D0A24"/>
    <w:rsid w:val="005E21C9"/>
    <w:rsid w:val="005E2901"/>
    <w:rsid w:val="005F2D4B"/>
    <w:rsid w:val="005F4E4A"/>
    <w:rsid w:val="005F6160"/>
    <w:rsid w:val="00605B93"/>
    <w:rsid w:val="00614AF1"/>
    <w:rsid w:val="00646B8F"/>
    <w:rsid w:val="00653F68"/>
    <w:rsid w:val="00673E1A"/>
    <w:rsid w:val="00697130"/>
    <w:rsid w:val="006E0301"/>
    <w:rsid w:val="0073227A"/>
    <w:rsid w:val="00734695"/>
    <w:rsid w:val="007376FC"/>
    <w:rsid w:val="0074353E"/>
    <w:rsid w:val="00765C84"/>
    <w:rsid w:val="00785706"/>
    <w:rsid w:val="00787F5A"/>
    <w:rsid w:val="0079795E"/>
    <w:rsid w:val="007B6D30"/>
    <w:rsid w:val="008005CA"/>
    <w:rsid w:val="0080373A"/>
    <w:rsid w:val="008041C5"/>
    <w:rsid w:val="008105CD"/>
    <w:rsid w:val="00812FBB"/>
    <w:rsid w:val="008303F2"/>
    <w:rsid w:val="00830AB4"/>
    <w:rsid w:val="00840AEF"/>
    <w:rsid w:val="00854B2C"/>
    <w:rsid w:val="0086488F"/>
    <w:rsid w:val="008719B4"/>
    <w:rsid w:val="008A1305"/>
    <w:rsid w:val="008A5686"/>
    <w:rsid w:val="008B12A2"/>
    <w:rsid w:val="008B714A"/>
    <w:rsid w:val="008C1561"/>
    <w:rsid w:val="008D7D2A"/>
    <w:rsid w:val="0091165E"/>
    <w:rsid w:val="009148D2"/>
    <w:rsid w:val="0091689A"/>
    <w:rsid w:val="00921919"/>
    <w:rsid w:val="009330D8"/>
    <w:rsid w:val="00956FF3"/>
    <w:rsid w:val="009824D4"/>
    <w:rsid w:val="0098689D"/>
    <w:rsid w:val="00997E15"/>
    <w:rsid w:val="009E3039"/>
    <w:rsid w:val="009F7465"/>
    <w:rsid w:val="00A13CB8"/>
    <w:rsid w:val="00A15C2E"/>
    <w:rsid w:val="00A37867"/>
    <w:rsid w:val="00A43249"/>
    <w:rsid w:val="00A7244B"/>
    <w:rsid w:val="00A950F0"/>
    <w:rsid w:val="00AA2D52"/>
    <w:rsid w:val="00AB5DFD"/>
    <w:rsid w:val="00AD318F"/>
    <w:rsid w:val="00B31598"/>
    <w:rsid w:val="00B41451"/>
    <w:rsid w:val="00B51A66"/>
    <w:rsid w:val="00B972BA"/>
    <w:rsid w:val="00BA097D"/>
    <w:rsid w:val="00BB2ECA"/>
    <w:rsid w:val="00BC66F8"/>
    <w:rsid w:val="00BE28F2"/>
    <w:rsid w:val="00BF5A0C"/>
    <w:rsid w:val="00C010AD"/>
    <w:rsid w:val="00C13D64"/>
    <w:rsid w:val="00C149ED"/>
    <w:rsid w:val="00C23F0F"/>
    <w:rsid w:val="00C26A2B"/>
    <w:rsid w:val="00C27673"/>
    <w:rsid w:val="00C30EA0"/>
    <w:rsid w:val="00C317E2"/>
    <w:rsid w:val="00C84DA5"/>
    <w:rsid w:val="00CA6B3C"/>
    <w:rsid w:val="00CC4016"/>
    <w:rsid w:val="00CD685A"/>
    <w:rsid w:val="00CE713B"/>
    <w:rsid w:val="00CF42DD"/>
    <w:rsid w:val="00CF6102"/>
    <w:rsid w:val="00D00CC7"/>
    <w:rsid w:val="00D51C8B"/>
    <w:rsid w:val="00D66AB4"/>
    <w:rsid w:val="00D74399"/>
    <w:rsid w:val="00DA6D83"/>
    <w:rsid w:val="00DD16A1"/>
    <w:rsid w:val="00DE0577"/>
    <w:rsid w:val="00DF08A8"/>
    <w:rsid w:val="00DF1B22"/>
    <w:rsid w:val="00E4736B"/>
    <w:rsid w:val="00E57231"/>
    <w:rsid w:val="00E615FA"/>
    <w:rsid w:val="00E617D6"/>
    <w:rsid w:val="00E8616F"/>
    <w:rsid w:val="00E915F5"/>
    <w:rsid w:val="00EB4446"/>
    <w:rsid w:val="00EB54E1"/>
    <w:rsid w:val="00EC54DB"/>
    <w:rsid w:val="00F45204"/>
    <w:rsid w:val="00F631DC"/>
    <w:rsid w:val="00FA1191"/>
    <w:rsid w:val="00FC3369"/>
    <w:rsid w:val="00FE1348"/>
    <w:rsid w:val="00FF4A82"/>
    <w:rsid w:val="00FF6316"/>
    <w:rsid w:val="1CBA632D"/>
    <w:rsid w:val="1DD40BBF"/>
    <w:rsid w:val="2B626157"/>
    <w:rsid w:val="31C33E03"/>
    <w:rsid w:val="3CE378CF"/>
    <w:rsid w:val="3D0B54B4"/>
    <w:rsid w:val="67526854"/>
    <w:rsid w:val="6E712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C5D987"/>
  <w15:docId w15:val="{E8E9F66A-28F2-455A-BAD5-9C377E3EF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a4">
    <w:name w:val="Balloon Text"/>
    <w:basedOn w:val="a"/>
    <w:link w:val="a5"/>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widowControl/>
      <w:spacing w:before="100" w:beforeAutospacing="1" w:after="100" w:afterAutospacing="1"/>
      <w:jc w:val="left"/>
    </w:pPr>
    <w:rPr>
      <w:rFonts w:ascii="宋体" w:hAnsi="宋体" w:cs="宋体"/>
      <w:kern w:val="0"/>
      <w:sz w:val="24"/>
      <w:szCs w:val="24"/>
    </w:rPr>
  </w:style>
  <w:style w:type="character" w:styleId="ab">
    <w:name w:val="annotation reference"/>
    <w:basedOn w:val="a0"/>
    <w:semiHidden/>
    <w:unhideWhenUsed/>
    <w:qFormat/>
    <w:rPr>
      <w:sz w:val="21"/>
      <w:szCs w:val="21"/>
    </w:rPr>
  </w:style>
  <w:style w:type="paragraph" w:customStyle="1" w:styleId="1">
    <w:name w:val="列出段落1"/>
    <w:basedOn w:val="a"/>
    <w:uiPriority w:val="34"/>
    <w:qFormat/>
    <w:pPr>
      <w:ind w:firstLineChars="200" w:firstLine="420"/>
    </w:pPr>
  </w:style>
  <w:style w:type="paragraph" w:customStyle="1" w:styleId="p0">
    <w:name w:val="p0"/>
    <w:basedOn w:val="a"/>
    <w:qFormat/>
    <w:pPr>
      <w:widowControl/>
    </w:pPr>
    <w:rPr>
      <w:rFonts w:cs="宋体"/>
      <w:kern w:val="0"/>
      <w:szCs w:val="21"/>
    </w:rPr>
  </w:style>
  <w:style w:type="character" w:customStyle="1" w:styleId="a9">
    <w:name w:val="页眉 字符"/>
    <w:basedOn w:val="a0"/>
    <w:link w:val="a8"/>
    <w:uiPriority w:val="99"/>
    <w:semiHidden/>
    <w:qFormat/>
    <w:rPr>
      <w:rFonts w:ascii="Calibri" w:eastAsia="宋体" w:hAnsi="Calibri" w:cs="Times New Roman"/>
      <w:sz w:val="18"/>
      <w:szCs w:val="18"/>
    </w:rPr>
  </w:style>
  <w:style w:type="character" w:customStyle="1" w:styleId="a7">
    <w:name w:val="页脚 字符"/>
    <w:basedOn w:val="a0"/>
    <w:link w:val="a6"/>
    <w:uiPriority w:val="99"/>
    <w:semiHidden/>
    <w:qFormat/>
    <w:rPr>
      <w:rFonts w:ascii="Calibri" w:eastAsia="宋体" w:hAnsi="Calibri" w:cs="Times New Roman"/>
      <w:sz w:val="18"/>
      <w:szCs w:val="18"/>
    </w:rPr>
  </w:style>
  <w:style w:type="character" w:customStyle="1" w:styleId="a5">
    <w:name w:val="批注框文本 字符"/>
    <w:basedOn w:val="a0"/>
    <w:link w:val="a4"/>
    <w:semiHidden/>
    <w:qFormat/>
    <w:rPr>
      <w:rFonts w:ascii="Calibri" w:hAnsi="Calibri"/>
      <w:kern w:val="2"/>
      <w:sz w:val="18"/>
      <w:szCs w:val="18"/>
    </w:rPr>
  </w:style>
  <w:style w:type="paragraph" w:styleId="ac">
    <w:name w:val="Revision"/>
    <w:hidden/>
    <w:uiPriority w:val="99"/>
    <w:semiHidden/>
    <w:rsid w:val="00B41451"/>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20788">
      <w:bodyDiv w:val="1"/>
      <w:marLeft w:val="0"/>
      <w:marRight w:val="0"/>
      <w:marTop w:val="0"/>
      <w:marBottom w:val="0"/>
      <w:divBdr>
        <w:top w:val="none" w:sz="0" w:space="0" w:color="auto"/>
        <w:left w:val="none" w:sz="0" w:space="0" w:color="auto"/>
        <w:bottom w:val="none" w:sz="0" w:space="0" w:color="auto"/>
        <w:right w:val="none" w:sz="0" w:space="0" w:color="auto"/>
      </w:divBdr>
      <w:divsChild>
        <w:div w:id="385839530">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139</Words>
  <Characters>794</Characters>
  <Application>Microsoft Office Word</Application>
  <DocSecurity>0</DocSecurity>
  <Lines>6</Lines>
  <Paragraphs>1</Paragraphs>
  <ScaleCrop>false</ScaleCrop>
  <Company/>
  <LinksUpToDate>false</LinksUpToDate>
  <CharactersWithSpaces>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《食品安全国家标准 食品用香精》（GB 30616-2014）</dc:title>
  <dc:creator>fg</dc:creator>
  <cp:lastModifiedBy>Admin</cp:lastModifiedBy>
  <cp:revision>2</cp:revision>
  <cp:lastPrinted>2015-10-09T03:28:00Z</cp:lastPrinted>
  <dcterms:created xsi:type="dcterms:W3CDTF">2023-10-17T04:47:00Z</dcterms:created>
  <dcterms:modified xsi:type="dcterms:W3CDTF">2023-10-17T04:47:00Z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80BC2C6DA0624E448C10CFF013993B74</vt:lpwstr>
  </property>
</Properties>
</file>